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68664" w14:textId="77777777" w:rsidR="004F1F7C" w:rsidRDefault="000C7F69">
      <w:pPr>
        <w:shd w:val="clear" w:color="auto" w:fill="FFFFFF"/>
        <w:spacing w:after="0" w:line="240" w:lineRule="auto"/>
        <w:rPr>
          <w:rFonts w:ascii="Arial" w:eastAsia="Arial" w:hAnsi="Arial" w:cs="Arial"/>
          <w:color w:val="222222"/>
          <w:sz w:val="24"/>
          <w:szCs w:val="24"/>
        </w:rPr>
      </w:pPr>
      <w:r>
        <w:rPr>
          <w:rFonts w:ascii="Arial" w:eastAsia="Arial" w:hAnsi="Arial" w:cs="Arial"/>
          <w:noProof/>
          <w:color w:val="222222"/>
          <w:sz w:val="24"/>
          <w:szCs w:val="24"/>
        </w:rPr>
        <w:drawing>
          <wp:anchor distT="0" distB="0" distL="114300" distR="114300" simplePos="0" relativeHeight="251658240" behindDoc="0" locked="0" layoutInCell="1" allowOverlap="1" wp14:anchorId="643C0211" wp14:editId="6D283631">
            <wp:simplePos x="0" y="0"/>
            <wp:positionH relativeFrom="margin">
              <wp:posOffset>-402589</wp:posOffset>
            </wp:positionH>
            <wp:positionV relativeFrom="margin">
              <wp:posOffset>-606424</wp:posOffset>
            </wp:positionV>
            <wp:extent cx="7168515" cy="1423035"/>
            <wp:effectExtent l="0" t="0" r="0" b="0"/>
            <wp:wrapSquare wrapText="bothSides" distT="0" distB="0" distL="114300" distR="114300"/>
            <wp:docPr id="2" name="image2.jpg" descr="EMAdata s.r.o..jpg"/>
            <wp:cNvGraphicFramePr/>
            <a:graphic xmlns:a="http://schemas.openxmlformats.org/drawingml/2006/main">
              <a:graphicData uri="http://schemas.openxmlformats.org/drawingml/2006/picture">
                <pic:pic xmlns:pic="http://schemas.openxmlformats.org/drawingml/2006/picture">
                  <pic:nvPicPr>
                    <pic:cNvPr id="0" name="image2.jpg" descr="EMAdata s.r.o..jpg"/>
                    <pic:cNvPicPr preferRelativeResize="0"/>
                  </pic:nvPicPr>
                  <pic:blipFill>
                    <a:blip r:embed="rId4"/>
                    <a:srcRect/>
                    <a:stretch>
                      <a:fillRect/>
                    </a:stretch>
                  </pic:blipFill>
                  <pic:spPr>
                    <a:xfrm>
                      <a:off x="0" y="0"/>
                      <a:ext cx="7168515" cy="1423035"/>
                    </a:xfrm>
                    <a:prstGeom prst="rect">
                      <a:avLst/>
                    </a:prstGeom>
                    <a:ln/>
                  </pic:spPr>
                </pic:pic>
              </a:graphicData>
            </a:graphic>
          </wp:anchor>
        </w:drawing>
      </w:r>
      <w:r w:rsidR="000E5509">
        <w:rPr>
          <w:noProof/>
        </w:rPr>
        <mc:AlternateContent>
          <mc:Choice Requires="wps">
            <w:drawing>
              <wp:anchor distT="0" distB="0" distL="114300" distR="114300" simplePos="0" relativeHeight="251659264" behindDoc="0" locked="0" layoutInCell="1" hidden="0" allowOverlap="1" wp14:anchorId="3AB3E4D8" wp14:editId="225F13CE">
                <wp:simplePos x="0" y="0"/>
                <wp:positionH relativeFrom="column">
                  <wp:posOffset>-1003299</wp:posOffset>
                </wp:positionH>
                <wp:positionV relativeFrom="paragraph">
                  <wp:posOffset>812800</wp:posOffset>
                </wp:positionV>
                <wp:extent cx="8414385"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flipH="1">
                          <a:off x="1138808" y="3779683"/>
                          <a:ext cx="841438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C01E2" id="_x0000_t32" coordsize="21600,21600" o:spt="32" o:oned="t" path="m,l21600,21600e" filled="f">
                <v:path arrowok="t" fillok="f" o:connecttype="none"/>
                <o:lock v:ext="edit" shapetype="t"/>
              </v:shapetype>
              <v:shape id="Přímá spojnice se šipkou 1" o:spid="_x0000_s1026" type="#_x0000_t32" style="position:absolute;margin-left:-79pt;margin-top:64pt;width:662.55pt;height: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"/>
            </w:pict>
          </mc:Fallback>
        </mc:AlternateContent>
      </w:r>
    </w:p>
    <w:p w14:paraId="7FFE7C12" w14:textId="77777777" w:rsidR="004F1F7C" w:rsidRDefault="004F1F7C"/>
    <w:p w14:paraId="60EAC542" w14:textId="77777777" w:rsidR="004F1F7C" w:rsidRDefault="000C7F69">
      <w:pPr>
        <w:jc w:val="center"/>
        <w:rPr>
          <w:b/>
          <w:sz w:val="52"/>
          <w:szCs w:val="52"/>
        </w:rPr>
      </w:pPr>
      <w:r>
        <w:rPr>
          <w:b/>
          <w:sz w:val="52"/>
          <w:szCs w:val="52"/>
        </w:rPr>
        <w:t>Finanční gramotnost Čechů je průměrná, přesto nemají zájem ji zvyšovat</w:t>
      </w:r>
    </w:p>
    <w:p w14:paraId="299E6598" w14:textId="77777777" w:rsidR="004F1F7C" w:rsidRDefault="004F1F7C"/>
    <w:p w14:paraId="3CAC5248" w14:textId="060BA482" w:rsidR="004F1F7C" w:rsidRDefault="000C7F69">
      <w:pPr>
        <w:jc w:val="right"/>
      </w:pPr>
      <w:r>
        <w:t xml:space="preserve">Pondělí </w:t>
      </w:r>
      <w:r w:rsidR="000E5509">
        <w:t>7</w:t>
      </w:r>
      <w:r>
        <w:t>. června 2021</w:t>
      </w:r>
    </w:p>
    <w:p w14:paraId="39DD7ABC" w14:textId="77777777" w:rsidR="004F1F7C" w:rsidRDefault="004F1F7C">
      <w:pPr>
        <w:rPr>
          <w:sz w:val="24"/>
          <w:szCs w:val="24"/>
        </w:rPr>
      </w:pPr>
    </w:p>
    <w:p w14:paraId="00BA4B54" w14:textId="77777777" w:rsidR="004F1F7C" w:rsidRDefault="000C7F69">
      <w:pPr>
        <w:rPr>
          <w:b/>
          <w:sz w:val="24"/>
          <w:szCs w:val="24"/>
        </w:rPr>
      </w:pPr>
      <w:r>
        <w:rPr>
          <w:b/>
          <w:sz w:val="24"/>
          <w:szCs w:val="24"/>
        </w:rPr>
        <w:t>Podle aktuálních dat společnosti EMA data každý 13. Čech hodnotí svou finanční gramotnost jako špatnou nebo dokonce velmi špatnou. Přesto se právě tato skupina loni nevěnovala vylepšení svých znalostí. Má to ale v plánu – v roce 2021 se lidé se špatnou finanční gramotností chtějí v této oblasti vzdělávat až v 75 % případů.</w:t>
      </w:r>
    </w:p>
    <w:p w14:paraId="05E87E81" w14:textId="77777777" w:rsidR="004F1F7C" w:rsidRDefault="000C7F69">
      <w:pPr>
        <w:rPr>
          <w:sz w:val="24"/>
          <w:szCs w:val="24"/>
        </w:rPr>
      </w:pPr>
      <w:r>
        <w:rPr>
          <w:sz w:val="24"/>
          <w:szCs w:val="24"/>
        </w:rPr>
        <w:t>Finanční gramotnost Čechů dlouhodobě odpovídá průměru OECD. I Češi hodnotí své znalosti obdobně. Z</w:t>
      </w:r>
      <w:r w:rsidR="00DA0BBA">
        <w:rPr>
          <w:sz w:val="24"/>
          <w:szCs w:val="24"/>
        </w:rPr>
        <w:t> </w:t>
      </w:r>
      <w:r>
        <w:rPr>
          <w:sz w:val="24"/>
          <w:szCs w:val="24"/>
        </w:rPr>
        <w:t xml:space="preserve">aktuálního průzkumu společnosti EMA data vnímá svou finanční gramotnost 43 % jako docela slušnou a 38 % jako průměrnou. Naopak 8 % cítí, že jejich orientace ve světě financí je špatná nebo velmi špatná. </w:t>
      </w:r>
      <w:r>
        <w:rPr>
          <w:i/>
          <w:sz w:val="24"/>
          <w:szCs w:val="24"/>
        </w:rPr>
        <w:t>„Podle očekávání roste představa o vlastní schopnosti orientovat se ve světě financí s věkem a také vzděláním. Ne vždy je zde ale platná rovnice, že vyšší vzdělání s sebou nese i vyšší finanční gramotnost. Velkou roli hraje sociální zázemí a způsob, jakým primární rodina fungovala směrem k penězům a jaký měl člověk v nakládání s nimi vzor jako dítě,“</w:t>
      </w:r>
      <w:r>
        <w:rPr>
          <w:sz w:val="24"/>
          <w:szCs w:val="24"/>
        </w:rPr>
        <w:t xml:space="preserve"> vysvětluje </w:t>
      </w:r>
      <w:r w:rsidR="009351D2">
        <w:rPr>
          <w:sz w:val="24"/>
          <w:szCs w:val="24"/>
        </w:rPr>
        <w:t>šéf obsahu</w:t>
      </w:r>
      <w:r>
        <w:rPr>
          <w:sz w:val="24"/>
          <w:szCs w:val="24"/>
        </w:rPr>
        <w:t xml:space="preserve"> EMA data Petr Zámečník.</w:t>
      </w:r>
    </w:p>
    <w:p w14:paraId="4349DC0D" w14:textId="77777777" w:rsidR="004F1F7C" w:rsidRDefault="00012ADA">
      <w:pPr>
        <w:rPr>
          <w:sz w:val="24"/>
          <w:szCs w:val="24"/>
        </w:rPr>
      </w:pPr>
      <w:r>
        <w:rPr>
          <w:noProof/>
          <w:sz w:val="24"/>
        </w:rPr>
        <w:lastRenderedPageBreak/>
        <w:drawing>
          <wp:inline distT="0" distB="0" distL="0" distR="0" wp14:anchorId="34877771" wp14:editId="4BFDE6F8">
            <wp:extent cx="3939540" cy="2331720"/>
            <wp:effectExtent l="19050" t="0" r="2286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38BC51D" w14:textId="77777777" w:rsidR="001A6AA4" w:rsidRDefault="001A6AA4">
      <w:pPr>
        <w:rPr>
          <w:sz w:val="24"/>
          <w:szCs w:val="24"/>
        </w:rPr>
      </w:pPr>
    </w:p>
    <w:p w14:paraId="69698DF6" w14:textId="77777777" w:rsidR="004F1F7C" w:rsidRDefault="000C7F69">
      <w:pPr>
        <w:rPr>
          <w:b/>
          <w:sz w:val="24"/>
          <w:szCs w:val="24"/>
        </w:rPr>
      </w:pPr>
      <w:r>
        <w:rPr>
          <w:b/>
          <w:sz w:val="24"/>
          <w:szCs w:val="24"/>
        </w:rPr>
        <w:t>Financím nerozumí, přesto se nevzdělávají</w:t>
      </w:r>
    </w:p>
    <w:p w14:paraId="11780C75" w14:textId="77777777" w:rsidR="004F1F7C" w:rsidRDefault="000C7F69">
      <w:pPr>
        <w:rPr>
          <w:sz w:val="24"/>
          <w:szCs w:val="24"/>
        </w:rPr>
      </w:pPr>
      <w:r>
        <w:rPr>
          <w:sz w:val="24"/>
          <w:szCs w:val="24"/>
        </w:rPr>
        <w:t xml:space="preserve">Přesto, že naše finanční gramotnost není z nejvyšších, nevzděláváme se. Podle EMA data více než polovina Čechů loni nevěnovala zvyšování finančních znalostí žádný čas. Nejhůře na tom je skupina respondentů s nejnižší finanční gramotností, kde nejevila zájem o finanční vzdělávání drtivá většina, 75 %. </w:t>
      </w:r>
      <w:r>
        <w:rPr>
          <w:i/>
          <w:sz w:val="24"/>
          <w:szCs w:val="24"/>
        </w:rPr>
        <w:t>„Je to logické. Ti, kteří financím nerozumí, jim patrně nerozumí proto, že této oblasti našeho života nepřikládají velkou váhu. Proto ani neusilují o zlepšení svých znalostí a dovedností v nakládání s penězi,“</w:t>
      </w:r>
      <w:r>
        <w:rPr>
          <w:sz w:val="24"/>
          <w:szCs w:val="24"/>
        </w:rPr>
        <w:t xml:space="preserve"> doplňuje</w:t>
      </w:r>
      <w:r w:rsidR="00F25F36">
        <w:rPr>
          <w:sz w:val="24"/>
          <w:szCs w:val="24"/>
        </w:rPr>
        <w:t xml:space="preserve"> Petr</w:t>
      </w:r>
      <w:r>
        <w:rPr>
          <w:sz w:val="24"/>
          <w:szCs w:val="24"/>
        </w:rPr>
        <w:t xml:space="preserve"> Zámečník.</w:t>
      </w:r>
    </w:p>
    <w:p w14:paraId="4582A22B" w14:textId="77777777" w:rsidR="004F1F7C" w:rsidRDefault="00074948">
      <w:pPr>
        <w:rPr>
          <w:sz w:val="24"/>
          <w:szCs w:val="24"/>
        </w:rPr>
      </w:pPr>
      <w:r>
        <w:rPr>
          <w:noProof/>
          <w:sz w:val="24"/>
        </w:rPr>
        <w:drawing>
          <wp:inline distT="0" distB="0" distL="0" distR="0" wp14:anchorId="6692856B" wp14:editId="1E154519">
            <wp:extent cx="5486400" cy="2346960"/>
            <wp:effectExtent l="19050" t="0" r="190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943844" w14:textId="77777777" w:rsidR="004F1F7C" w:rsidRDefault="000C7F69">
      <w:pPr>
        <w:rPr>
          <w:sz w:val="24"/>
          <w:szCs w:val="24"/>
        </w:rPr>
      </w:pPr>
      <w:r>
        <w:rPr>
          <w:rFonts w:ascii="Arial" w:eastAsia="Arial" w:hAnsi="Arial" w:cs="Arial"/>
          <w:color w:val="000000"/>
          <w:sz w:val="18"/>
          <w:szCs w:val="18"/>
        </w:rPr>
        <w:t>Pozn. čísla v grafu jsou zaokrouhlena, jejich součet tedy může být vyšší než 100 %.</w:t>
      </w:r>
    </w:p>
    <w:p w14:paraId="343F7114" w14:textId="77777777" w:rsidR="004F1F7C" w:rsidRDefault="004F1F7C">
      <w:pPr>
        <w:rPr>
          <w:b/>
          <w:sz w:val="24"/>
          <w:szCs w:val="24"/>
        </w:rPr>
      </w:pPr>
    </w:p>
    <w:p w14:paraId="00E1E715" w14:textId="77777777" w:rsidR="004F1F7C" w:rsidRDefault="000C7F69">
      <w:pPr>
        <w:rPr>
          <w:b/>
          <w:sz w:val="24"/>
          <w:szCs w:val="24"/>
        </w:rPr>
      </w:pPr>
      <w:bookmarkStart w:id="0" w:name="_GoBack"/>
      <w:r>
        <w:rPr>
          <w:b/>
          <w:sz w:val="24"/>
          <w:szCs w:val="24"/>
        </w:rPr>
        <w:t>Blýská se na lepší časy?</w:t>
      </w:r>
    </w:p>
    <w:p w14:paraId="756AC9CC" w14:textId="77777777" w:rsidR="004F1F7C" w:rsidRDefault="000C7F69">
      <w:pPr>
        <w:rPr>
          <w:sz w:val="24"/>
          <w:szCs w:val="24"/>
        </w:rPr>
      </w:pPr>
      <w:r>
        <w:rPr>
          <w:sz w:val="24"/>
          <w:szCs w:val="24"/>
        </w:rPr>
        <w:t xml:space="preserve">Plány pro rok 2021 mají Češi výrazně ambicióznější – dvě třetiny (64 %) se totiž plánují finančně vzdělávat. Takové plány mají především lidé se špatnou (tvrdí to 75 % z nich) a velmi špatnou finanční gramotností (66 %). Na plánech se projevuje </w:t>
      </w:r>
      <w:r>
        <w:rPr>
          <w:sz w:val="24"/>
          <w:szCs w:val="24"/>
        </w:rPr>
        <w:lastRenderedPageBreak/>
        <w:t xml:space="preserve">také věk a mladší respondenti chtějí své finanční znalosti rozšiřovat ve větší míře než ti starší. </w:t>
      </w:r>
      <w:r>
        <w:rPr>
          <w:i/>
          <w:sz w:val="24"/>
          <w:szCs w:val="24"/>
        </w:rPr>
        <w:t>„Trochu to připomíná novoroční předsevzetí, kdy jsme v lednu plni elánu a optimismu a máme chuť svůj život měnit a zlepšovat. Realita ovšem bývá jiná a nepředpokládám, že v oblasti financí tomu bude jinak. Ostatně o tom svědčí i úroveň naší finanční gramotnosti, která se navzdory těmto proklamacím v dlouhodobém horizontu výrazně nelepší,“</w:t>
      </w:r>
      <w:r>
        <w:rPr>
          <w:sz w:val="24"/>
          <w:szCs w:val="24"/>
        </w:rPr>
        <w:t xml:space="preserve"> uzavírá Zámečník.</w:t>
      </w:r>
    </w:p>
    <w:p w14:paraId="1CCC87A8" w14:textId="77777777" w:rsidR="004F1F7C" w:rsidRDefault="000C7F69">
      <w:pPr>
        <w:spacing w:after="0" w:line="240" w:lineRule="auto"/>
      </w:pPr>
      <w:r>
        <w:t>------------</w:t>
      </w:r>
    </w:p>
    <w:p w14:paraId="6D7CF04D" w14:textId="77777777" w:rsidR="004F1F7C" w:rsidRDefault="000C7F69">
      <w:pPr>
        <w:jc w:val="both"/>
        <w:rPr>
          <w:b/>
        </w:rPr>
      </w:pPr>
      <w:r>
        <w:rPr>
          <w:b/>
        </w:rPr>
        <w:t>O průzkumu</w:t>
      </w:r>
    </w:p>
    <w:p w14:paraId="6D1BA39E" w14:textId="77777777" w:rsidR="004F1F7C" w:rsidRDefault="000C7F69">
      <w:pPr>
        <w:jc w:val="both"/>
      </w:pPr>
      <w:r>
        <w:t xml:space="preserve">Průzkum společnosti EMA data </w:t>
      </w:r>
      <w:r w:rsidRPr="009351D2">
        <w:t>proběhl on-line a zúčastnilo se ho 1 150 respondentů ve věku 21–61 v reprezentativním zastoupení podle pohlaví, věku, regionu a ekonomické a</w:t>
      </w:r>
      <w:r>
        <w:t>ktivity.  Sběr dat probíhal 8.–10. ledna 2021.</w:t>
      </w:r>
    </w:p>
    <w:p w14:paraId="5860E918" w14:textId="77777777" w:rsidR="004F1F7C" w:rsidRDefault="004F1F7C">
      <w:pPr>
        <w:jc w:val="both"/>
        <w:rPr>
          <w:sz w:val="24"/>
          <w:szCs w:val="24"/>
        </w:rPr>
      </w:pPr>
    </w:p>
    <w:p w14:paraId="18DB31EF" w14:textId="77777777" w:rsidR="004F1F7C" w:rsidRDefault="000C7F69">
      <w:pPr>
        <w:rPr>
          <w:b/>
          <w:sz w:val="24"/>
          <w:szCs w:val="24"/>
        </w:rPr>
      </w:pPr>
      <w:r>
        <w:rPr>
          <w:b/>
          <w:sz w:val="24"/>
          <w:szCs w:val="24"/>
        </w:rPr>
        <w:t>Kontakt pro média:</w:t>
      </w:r>
    </w:p>
    <w:p w14:paraId="2C176D1A" w14:textId="77777777" w:rsidR="004F1F7C" w:rsidRDefault="000C7F69">
      <w:pPr>
        <w:spacing w:after="0" w:line="240" w:lineRule="auto"/>
        <w:rPr>
          <w:sz w:val="24"/>
          <w:szCs w:val="24"/>
        </w:rPr>
      </w:pPr>
      <w:r>
        <w:rPr>
          <w:sz w:val="24"/>
          <w:szCs w:val="24"/>
        </w:rPr>
        <w:t>Lucie Pech</w:t>
      </w:r>
    </w:p>
    <w:p w14:paraId="19C138AB" w14:textId="77777777" w:rsidR="004F1F7C" w:rsidRDefault="000C7F69">
      <w:pPr>
        <w:spacing w:after="0" w:line="240" w:lineRule="auto"/>
        <w:rPr>
          <w:sz w:val="24"/>
          <w:szCs w:val="24"/>
        </w:rPr>
      </w:pPr>
      <w:r>
        <w:rPr>
          <w:sz w:val="24"/>
          <w:szCs w:val="24"/>
        </w:rPr>
        <w:t>PR Consultant</w:t>
      </w:r>
    </w:p>
    <w:p w14:paraId="24A7B0C5" w14:textId="77777777" w:rsidR="004F1F7C" w:rsidRDefault="000C7F69">
      <w:pPr>
        <w:spacing w:after="0" w:line="240" w:lineRule="auto"/>
        <w:rPr>
          <w:sz w:val="24"/>
          <w:szCs w:val="24"/>
        </w:rPr>
      </w:pPr>
      <w:r>
        <w:rPr>
          <w:sz w:val="24"/>
          <w:szCs w:val="24"/>
        </w:rPr>
        <w:t>+420 731 615 033</w:t>
      </w:r>
      <w:r>
        <w:rPr>
          <w:sz w:val="24"/>
          <w:szCs w:val="24"/>
        </w:rPr>
        <w:br/>
      </w:r>
      <w:hyperlink r:id="rId7">
        <w:r>
          <w:rPr>
            <w:color w:val="0000FF"/>
            <w:sz w:val="24"/>
            <w:szCs w:val="24"/>
            <w:u w:val="single"/>
          </w:rPr>
          <w:t>lucie.pech@crestcom.cz</w:t>
        </w:r>
      </w:hyperlink>
    </w:p>
    <w:p w14:paraId="50353554" w14:textId="77777777" w:rsidR="004F1F7C" w:rsidRDefault="004F1F7C">
      <w:pPr>
        <w:rPr>
          <w:sz w:val="24"/>
          <w:szCs w:val="24"/>
        </w:rPr>
      </w:pPr>
    </w:p>
    <w:p w14:paraId="244BC776" w14:textId="77777777" w:rsidR="004F1F7C" w:rsidRDefault="000C7F69">
      <w:pPr>
        <w:rPr>
          <w:b/>
          <w:sz w:val="24"/>
          <w:szCs w:val="24"/>
        </w:rPr>
      </w:pPr>
      <w:r>
        <w:rPr>
          <w:b/>
          <w:sz w:val="24"/>
          <w:szCs w:val="24"/>
        </w:rPr>
        <w:t>O projektu EMA data:</w:t>
      </w:r>
    </w:p>
    <w:p w14:paraId="0A2FBB95" w14:textId="77777777" w:rsidR="004F1F7C" w:rsidRDefault="000C7F69">
      <w:pPr>
        <w:jc w:val="both"/>
        <w:rPr>
          <w:sz w:val="24"/>
          <w:szCs w:val="24"/>
        </w:rPr>
      </w:pPr>
      <w:r>
        <w:rPr>
          <w:sz w:val="24"/>
          <w:szCs w:val="24"/>
        </w:rPr>
        <w:t>Společnost EMA data se zabývá monitoringem a analytikou finančního a realitního trhu. Vznikla jako odpověď na poptávku snadno dostupných a srozumitelných dat současného trhu. Za projektem stojí lidé s dlouhodobými zkušenostmi v oboru, Martin Viktora, autor úspěšných portálů Poradci sobě, Realiťáci sobě nebo finanční konference FINfest, a Jiří Paták, zakladatel mnoha digitálních start-upů jako je Chytrý Honza, Patron, LUSQ, EMA data a dalších.</w:t>
      </w:r>
      <w:bookmarkEnd w:id="0"/>
    </w:p>
    <w:sectPr w:rsidR="004F1F7C" w:rsidSect="007148B1">
      <w:pgSz w:w="11906" w:h="16838"/>
      <w:pgMar w:top="1418" w:right="851" w:bottom="1418" w:left="851" w:header="0"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7C"/>
    <w:rsid w:val="00012ADA"/>
    <w:rsid w:val="00074948"/>
    <w:rsid w:val="000C7F69"/>
    <w:rsid w:val="000E5509"/>
    <w:rsid w:val="001A6AA4"/>
    <w:rsid w:val="004F1F7C"/>
    <w:rsid w:val="0053646B"/>
    <w:rsid w:val="0062209B"/>
    <w:rsid w:val="006B1BB6"/>
    <w:rsid w:val="007148B1"/>
    <w:rsid w:val="009351D2"/>
    <w:rsid w:val="00974935"/>
    <w:rsid w:val="00AC0420"/>
    <w:rsid w:val="00D27A67"/>
    <w:rsid w:val="00DA0BBA"/>
    <w:rsid w:val="00F25F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EBE9"/>
  <w15:docId w15:val="{99676A7E-88FD-4C5E-A628-DE823039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48B1"/>
  </w:style>
  <w:style w:type="paragraph" w:styleId="Nadpis1">
    <w:name w:val="heading 1"/>
    <w:basedOn w:val="Normln"/>
    <w:next w:val="Normln"/>
    <w:uiPriority w:val="9"/>
    <w:qFormat/>
    <w:rsid w:val="007148B1"/>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7148B1"/>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7148B1"/>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148B1"/>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7148B1"/>
    <w:pPr>
      <w:keepNext/>
      <w:keepLines/>
      <w:spacing w:before="220" w:after="40"/>
      <w:outlineLvl w:val="4"/>
    </w:pPr>
    <w:rPr>
      <w:b/>
    </w:rPr>
  </w:style>
  <w:style w:type="paragraph" w:styleId="Nadpis6">
    <w:name w:val="heading 6"/>
    <w:basedOn w:val="Normln"/>
    <w:next w:val="Normln"/>
    <w:uiPriority w:val="9"/>
    <w:semiHidden/>
    <w:unhideWhenUsed/>
    <w:qFormat/>
    <w:rsid w:val="007148B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7148B1"/>
    <w:tblPr>
      <w:tblCellMar>
        <w:top w:w="0" w:type="dxa"/>
        <w:left w:w="0" w:type="dxa"/>
        <w:bottom w:w="0" w:type="dxa"/>
        <w:right w:w="0" w:type="dxa"/>
      </w:tblCellMar>
    </w:tblPr>
  </w:style>
  <w:style w:type="paragraph" w:styleId="Nzev">
    <w:name w:val="Title"/>
    <w:basedOn w:val="Normln"/>
    <w:next w:val="Normln"/>
    <w:uiPriority w:val="10"/>
    <w:qFormat/>
    <w:rsid w:val="007148B1"/>
    <w:pPr>
      <w:keepNext/>
      <w:keepLines/>
      <w:spacing w:before="480" w:after="120"/>
    </w:pPr>
    <w:rPr>
      <w:b/>
      <w:sz w:val="72"/>
      <w:szCs w:val="72"/>
    </w:rPr>
  </w:style>
  <w:style w:type="paragraph" w:styleId="Podtitul">
    <w:name w:val="Subtitle"/>
    <w:basedOn w:val="Normln"/>
    <w:next w:val="Normln"/>
    <w:uiPriority w:val="11"/>
    <w:qFormat/>
    <w:rsid w:val="007148B1"/>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7148B1"/>
    <w:pPr>
      <w:spacing w:line="240" w:lineRule="auto"/>
    </w:pPr>
    <w:rPr>
      <w:sz w:val="20"/>
      <w:szCs w:val="20"/>
    </w:rPr>
  </w:style>
  <w:style w:type="character" w:customStyle="1" w:styleId="TextkomenteChar">
    <w:name w:val="Text komentáře Char"/>
    <w:basedOn w:val="Standardnpsmoodstavce"/>
    <w:link w:val="Textkomente"/>
    <w:uiPriority w:val="99"/>
    <w:semiHidden/>
    <w:rsid w:val="007148B1"/>
    <w:rPr>
      <w:sz w:val="20"/>
      <w:szCs w:val="20"/>
    </w:rPr>
  </w:style>
  <w:style w:type="character" w:styleId="Odkaznakoment">
    <w:name w:val="annotation reference"/>
    <w:basedOn w:val="Standardnpsmoodstavce"/>
    <w:uiPriority w:val="99"/>
    <w:semiHidden/>
    <w:unhideWhenUsed/>
    <w:rsid w:val="007148B1"/>
    <w:rPr>
      <w:sz w:val="16"/>
      <w:szCs w:val="16"/>
    </w:rPr>
  </w:style>
  <w:style w:type="paragraph" w:styleId="Textbubliny">
    <w:name w:val="Balloon Text"/>
    <w:basedOn w:val="Normln"/>
    <w:link w:val="TextbublinyChar"/>
    <w:uiPriority w:val="99"/>
    <w:semiHidden/>
    <w:unhideWhenUsed/>
    <w:rsid w:val="001A6A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6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cie.pech@crest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en-US"/>
              <a:t>Jak byste sám/sama ohodnotil/a svou finanční gramotnost?</a:t>
            </a:r>
          </a:p>
        </c:rich>
      </c:tx>
      <c:overlay val="0"/>
      <c:spPr>
        <a:noFill/>
        <a:ln>
          <a:noFill/>
        </a:ln>
        <a:effectLst/>
      </c:spPr>
    </c:title>
    <c:autoTitleDeleted val="0"/>
    <c:plotArea>
      <c:layout/>
      <c:pieChart>
        <c:varyColors val="1"/>
        <c:ser>
          <c:idx val="0"/>
          <c:order val="0"/>
          <c:tx>
            <c:strRef>
              <c:f>List1!$B$1</c:f>
              <c:strCache>
                <c:ptCount val="1"/>
                <c:pt idx="0">
                  <c:v>Jak byste sám/sama ohodnotil/a svou finanční gramotnost?</c:v>
                </c:pt>
              </c:strCache>
            </c:strRef>
          </c:tx>
          <c:dPt>
            <c:idx val="0"/>
            <c:bubble3D val="0"/>
            <c:spPr>
              <a:solidFill>
                <a:srgbClr val="00BFFF"/>
              </a:solidFill>
              <a:ln w="19050">
                <a:solidFill>
                  <a:schemeClr val="lt1"/>
                </a:solidFill>
              </a:ln>
              <a:effectLst/>
            </c:spPr>
            <c:extLst xmlns:c16r2="http://schemas.microsoft.com/office/drawing/2015/06/chart">
              <c:ext xmlns:c16="http://schemas.microsoft.com/office/drawing/2014/chart" uri="{C3380CC4-5D6E-409C-BE32-E72D297353CC}">
                <c16:uniqueId val="{00000001-E210-4160-B327-DCD41290D889}"/>
              </c:ext>
            </c:extLst>
          </c:dPt>
          <c:dPt>
            <c:idx val="1"/>
            <c:bubble3D val="0"/>
            <c:spPr>
              <a:solidFill>
                <a:srgbClr val="00528D"/>
              </a:solidFill>
              <a:ln w="19050">
                <a:solidFill>
                  <a:schemeClr val="lt1"/>
                </a:solidFill>
              </a:ln>
              <a:effectLst/>
            </c:spPr>
            <c:extLst xmlns:c16r2="http://schemas.microsoft.com/office/drawing/2015/06/chart">
              <c:ext xmlns:c16="http://schemas.microsoft.com/office/drawing/2014/chart" uri="{C3380CC4-5D6E-409C-BE32-E72D297353CC}">
                <c16:uniqueId val="{00000003-E210-4160-B327-DCD41290D889}"/>
              </c:ext>
            </c:extLst>
          </c:dPt>
          <c:dPt>
            <c:idx val="2"/>
            <c:bubble3D val="0"/>
            <c:spPr>
              <a:solidFill>
                <a:srgbClr val="D72666"/>
              </a:solidFill>
              <a:ln w="19050">
                <a:solidFill>
                  <a:schemeClr val="lt1"/>
                </a:solidFill>
              </a:ln>
              <a:effectLst/>
            </c:spPr>
            <c:extLst xmlns:c16r2="http://schemas.microsoft.com/office/drawing/2015/06/chart">
              <c:ext xmlns:c16="http://schemas.microsoft.com/office/drawing/2014/chart" uri="{C3380CC4-5D6E-409C-BE32-E72D297353CC}">
                <c16:uniqueId val="{00000005-E210-4160-B327-DCD41290D889}"/>
              </c:ext>
            </c:extLst>
          </c:dPt>
          <c:dPt>
            <c:idx val="3"/>
            <c:bubble3D val="0"/>
            <c:spPr>
              <a:solidFill>
                <a:schemeClr val="tx1"/>
              </a:solidFill>
              <a:ln w="19050">
                <a:solidFill>
                  <a:schemeClr val="lt1"/>
                </a:solidFill>
              </a:ln>
              <a:effectLst/>
            </c:spPr>
            <c:extLst xmlns:c16r2="http://schemas.microsoft.com/office/drawing/2015/06/chart">
              <c:ext xmlns:c16="http://schemas.microsoft.com/office/drawing/2014/chart" uri="{C3380CC4-5D6E-409C-BE32-E72D297353CC}">
                <c16:uniqueId val="{00000007-E210-4160-B327-DCD41290D889}"/>
              </c:ext>
            </c:extLst>
          </c:dPt>
          <c:dPt>
            <c:idx val="4"/>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E210-4160-B327-DCD41290D889}"/>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List1!$A$2:$A$6</c:f>
              <c:strCache>
                <c:ptCount val="5"/>
                <c:pt idx="0">
                  <c:v>Výborná</c:v>
                </c:pt>
                <c:pt idx="1">
                  <c:v>Docela slušná</c:v>
                </c:pt>
                <c:pt idx="2">
                  <c:v>Průměrná</c:v>
                </c:pt>
                <c:pt idx="3">
                  <c:v>Špatná</c:v>
                </c:pt>
                <c:pt idx="4">
                  <c:v>Velmi špatná</c:v>
                </c:pt>
              </c:strCache>
            </c:strRef>
          </c:cat>
          <c:val>
            <c:numRef>
              <c:f>List1!$B$2:$B$6</c:f>
              <c:numCache>
                <c:formatCode>0%</c:formatCode>
                <c:ptCount val="5"/>
                <c:pt idx="0">
                  <c:v>0.10800000000000003</c:v>
                </c:pt>
                <c:pt idx="1">
                  <c:v>0.43300000000000011</c:v>
                </c:pt>
                <c:pt idx="2">
                  <c:v>0.38400000000000012</c:v>
                </c:pt>
                <c:pt idx="3">
                  <c:v>5.0000000000000017E-2</c:v>
                </c:pt>
                <c:pt idx="4">
                  <c:v>2.5000000000000008E-2</c:v>
                </c:pt>
              </c:numCache>
            </c:numRef>
          </c:val>
          <c:extLst xmlns:c16r2="http://schemas.microsoft.com/office/drawing/2015/06/chart">
            <c:ext xmlns:c16="http://schemas.microsoft.com/office/drawing/2014/chart" uri="{C3380CC4-5D6E-409C-BE32-E72D297353CC}">
              <c16:uniqueId val="{0000000A-E210-4160-B327-DCD41290D88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cs-CZ"/>
              <a:t>Jak často jste se v posledním roce věnoval/a zlepšování svého finančního vzdělání?</a:t>
            </a:r>
          </a:p>
        </c:rich>
      </c:tx>
      <c:overlay val="0"/>
      <c:spPr>
        <a:noFill/>
        <a:ln>
          <a:noFill/>
        </a:ln>
        <a:effectLst/>
      </c:spPr>
    </c:title>
    <c:autoTitleDeleted val="0"/>
    <c:plotArea>
      <c:layout/>
      <c:barChart>
        <c:barDir val="bar"/>
        <c:grouping val="percentStacked"/>
        <c:varyColors val="0"/>
        <c:ser>
          <c:idx val="0"/>
          <c:order val="0"/>
          <c:tx>
            <c:strRef>
              <c:f>List1!$B$1</c:f>
              <c:strCache>
                <c:ptCount val="1"/>
                <c:pt idx="0">
                  <c:v>Více hodin týdně</c:v>
                </c:pt>
              </c:strCache>
            </c:strRef>
          </c:tx>
          <c:spPr>
            <a:solidFill>
              <a:srgbClr val="D7266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Výborná</c:v>
                </c:pt>
                <c:pt idx="1">
                  <c:v>Docela slušná</c:v>
                </c:pt>
                <c:pt idx="2">
                  <c:v>Průměrná</c:v>
                </c:pt>
                <c:pt idx="3">
                  <c:v>Špatná</c:v>
                </c:pt>
                <c:pt idx="4">
                  <c:v>Velmi špatná</c:v>
                </c:pt>
              </c:strCache>
            </c:strRef>
          </c:cat>
          <c:val>
            <c:numRef>
              <c:f>List1!$B$2:$B$6</c:f>
              <c:numCache>
                <c:formatCode>0%</c:formatCode>
                <c:ptCount val="5"/>
                <c:pt idx="0">
                  <c:v>0.12100000000000002</c:v>
                </c:pt>
                <c:pt idx="1">
                  <c:v>5.8000000000000003E-2</c:v>
                </c:pt>
                <c:pt idx="2">
                  <c:v>7.6999999999999999E-2</c:v>
                </c:pt>
                <c:pt idx="3">
                  <c:v>0.14000000000000001</c:v>
                </c:pt>
                <c:pt idx="4">
                  <c:v>0.27600000000000002</c:v>
                </c:pt>
              </c:numCache>
            </c:numRef>
          </c:val>
          <c:extLst xmlns:c16r2="http://schemas.microsoft.com/office/drawing/2015/06/chart">
            <c:ext xmlns:c16="http://schemas.microsoft.com/office/drawing/2014/chart" uri="{C3380CC4-5D6E-409C-BE32-E72D297353CC}">
              <c16:uniqueId val="{00000000-CF2E-43DC-8E83-E5503070070E}"/>
            </c:ext>
          </c:extLst>
        </c:ser>
        <c:ser>
          <c:idx val="1"/>
          <c:order val="1"/>
          <c:tx>
            <c:strRef>
              <c:f>List1!$C$1</c:f>
              <c:strCache>
                <c:ptCount val="1"/>
                <c:pt idx="0">
                  <c:v>Hodinu týdně</c:v>
                </c:pt>
              </c:strCache>
            </c:strRef>
          </c:tx>
          <c:spPr>
            <a:solidFill>
              <a:schemeClr val="tx1"/>
            </a:solidFill>
            <a:ln>
              <a:noFill/>
            </a:ln>
            <a:effectLst/>
          </c:spPr>
          <c:invertIfNegative val="0"/>
          <c:dLbls>
            <c:dLbl>
              <c:idx val="4"/>
              <c:delete val="1"/>
              <c:extLst xmlns:c16r2="http://schemas.microsoft.com/office/drawing/2015/06/chart">
                <c:ext xmlns:c16="http://schemas.microsoft.com/office/drawing/2014/chart" uri="{C3380CC4-5D6E-409C-BE32-E72D297353CC}">
                  <c16:uniqueId val="{00000001-CF2E-43DC-8E83-E5503070070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Výborná</c:v>
                </c:pt>
                <c:pt idx="1">
                  <c:v>Docela slušná</c:v>
                </c:pt>
                <c:pt idx="2">
                  <c:v>Průměrná</c:v>
                </c:pt>
                <c:pt idx="3">
                  <c:v>Špatná</c:v>
                </c:pt>
                <c:pt idx="4">
                  <c:v>Velmi špatná</c:v>
                </c:pt>
              </c:strCache>
            </c:strRef>
          </c:cat>
          <c:val>
            <c:numRef>
              <c:f>List1!$C$2:$C$6</c:f>
              <c:numCache>
                <c:formatCode>0%</c:formatCode>
                <c:ptCount val="5"/>
                <c:pt idx="0">
                  <c:v>8.1000000000000003E-2</c:v>
                </c:pt>
                <c:pt idx="1">
                  <c:v>6.200000000000002E-2</c:v>
                </c:pt>
                <c:pt idx="2">
                  <c:v>3.7999999999999999E-2</c:v>
                </c:pt>
                <c:pt idx="3">
                  <c:v>3.500000000000001E-2</c:v>
                </c:pt>
                <c:pt idx="4">
                  <c:v>0</c:v>
                </c:pt>
              </c:numCache>
            </c:numRef>
          </c:val>
          <c:extLst xmlns:c16r2="http://schemas.microsoft.com/office/drawing/2015/06/chart">
            <c:ext xmlns:c16="http://schemas.microsoft.com/office/drawing/2014/chart" uri="{C3380CC4-5D6E-409C-BE32-E72D297353CC}">
              <c16:uniqueId val="{00000002-CF2E-43DC-8E83-E5503070070E}"/>
            </c:ext>
          </c:extLst>
        </c:ser>
        <c:ser>
          <c:idx val="2"/>
          <c:order val="2"/>
          <c:tx>
            <c:strRef>
              <c:f>List1!$D$1</c:f>
              <c:strCache>
                <c:ptCount val="1"/>
                <c:pt idx="0">
                  <c:v>Několik hodin měsíčně</c:v>
                </c:pt>
              </c:strCache>
            </c:strRef>
          </c:tx>
          <c:spPr>
            <a:solidFill>
              <a:schemeClr val="bg1">
                <a:lumMod val="75000"/>
              </a:schemeClr>
            </a:solidFill>
            <a:ln>
              <a:noFill/>
            </a:ln>
            <a:effectLst/>
          </c:spPr>
          <c:invertIfNegative val="0"/>
          <c:dLbls>
            <c:dLbl>
              <c:idx val="4"/>
              <c:delete val="1"/>
              <c:extLst xmlns:c16r2="http://schemas.microsoft.com/office/drawing/2015/06/chart">
                <c:ext xmlns:c16="http://schemas.microsoft.com/office/drawing/2014/chart" uri="{C3380CC4-5D6E-409C-BE32-E72D297353CC}">
                  <c16:uniqueId val="{00000003-CF2E-43DC-8E83-E5503070070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Výborná</c:v>
                </c:pt>
                <c:pt idx="1">
                  <c:v>Docela slušná</c:v>
                </c:pt>
                <c:pt idx="2">
                  <c:v>Průměrná</c:v>
                </c:pt>
                <c:pt idx="3">
                  <c:v>Špatná</c:v>
                </c:pt>
                <c:pt idx="4">
                  <c:v>Velmi špatná</c:v>
                </c:pt>
              </c:strCache>
            </c:strRef>
          </c:cat>
          <c:val>
            <c:numRef>
              <c:f>List1!$D$2:$D$6</c:f>
              <c:numCache>
                <c:formatCode>0%</c:formatCode>
                <c:ptCount val="5"/>
                <c:pt idx="0">
                  <c:v>0.22600000000000001</c:v>
                </c:pt>
                <c:pt idx="1">
                  <c:v>0.18700000000000006</c:v>
                </c:pt>
                <c:pt idx="2">
                  <c:v>0.15800000000000006</c:v>
                </c:pt>
                <c:pt idx="3">
                  <c:v>0.10500000000000002</c:v>
                </c:pt>
                <c:pt idx="4">
                  <c:v>0</c:v>
                </c:pt>
              </c:numCache>
            </c:numRef>
          </c:val>
          <c:extLst xmlns:c16r2="http://schemas.microsoft.com/office/drawing/2015/06/chart">
            <c:ext xmlns:c16="http://schemas.microsoft.com/office/drawing/2014/chart" uri="{C3380CC4-5D6E-409C-BE32-E72D297353CC}">
              <c16:uniqueId val="{00000004-CF2E-43DC-8E83-E5503070070E}"/>
            </c:ext>
          </c:extLst>
        </c:ser>
        <c:ser>
          <c:idx val="3"/>
          <c:order val="3"/>
          <c:tx>
            <c:strRef>
              <c:f>List1!$E$1</c:f>
              <c:strCache>
                <c:ptCount val="1"/>
                <c:pt idx="0">
                  <c:v>Hodinu měsíčně</c:v>
                </c:pt>
              </c:strCache>
            </c:strRef>
          </c:tx>
          <c:spPr>
            <a:solidFill>
              <a:srgbClr val="00528D"/>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Výborná</c:v>
                </c:pt>
                <c:pt idx="1">
                  <c:v>Docela slušná</c:v>
                </c:pt>
                <c:pt idx="2">
                  <c:v>Průměrná</c:v>
                </c:pt>
                <c:pt idx="3">
                  <c:v>Špatná</c:v>
                </c:pt>
                <c:pt idx="4">
                  <c:v>Velmi špatná</c:v>
                </c:pt>
              </c:strCache>
            </c:strRef>
          </c:cat>
          <c:val>
            <c:numRef>
              <c:f>List1!$E$2:$E$6</c:f>
              <c:numCache>
                <c:formatCode>0%</c:formatCode>
                <c:ptCount val="5"/>
                <c:pt idx="0">
                  <c:v>0.16900000000000001</c:v>
                </c:pt>
                <c:pt idx="1">
                  <c:v>0.20500000000000004</c:v>
                </c:pt>
                <c:pt idx="2">
                  <c:v>0.14900000000000005</c:v>
                </c:pt>
                <c:pt idx="3">
                  <c:v>0.10500000000000002</c:v>
                </c:pt>
                <c:pt idx="4">
                  <c:v>0.13800000000000001</c:v>
                </c:pt>
              </c:numCache>
            </c:numRef>
          </c:val>
          <c:extLst xmlns:c16r2="http://schemas.microsoft.com/office/drawing/2015/06/chart">
            <c:ext xmlns:c16="http://schemas.microsoft.com/office/drawing/2014/chart" uri="{C3380CC4-5D6E-409C-BE32-E72D297353CC}">
              <c16:uniqueId val="{00000005-CF2E-43DC-8E83-E5503070070E}"/>
            </c:ext>
          </c:extLst>
        </c:ser>
        <c:ser>
          <c:idx val="4"/>
          <c:order val="4"/>
          <c:tx>
            <c:strRef>
              <c:f>List1!$F$1</c:f>
              <c:strCache>
                <c:ptCount val="1"/>
                <c:pt idx="0">
                  <c:v>Žádný čas</c:v>
                </c:pt>
              </c:strCache>
            </c:strRef>
          </c:tx>
          <c:spPr>
            <a:solidFill>
              <a:srgbClr val="00BF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Výborná</c:v>
                </c:pt>
                <c:pt idx="1">
                  <c:v>Docela slušná</c:v>
                </c:pt>
                <c:pt idx="2">
                  <c:v>Průměrná</c:v>
                </c:pt>
                <c:pt idx="3">
                  <c:v>Špatná</c:v>
                </c:pt>
                <c:pt idx="4">
                  <c:v>Velmi špatná</c:v>
                </c:pt>
              </c:strCache>
            </c:strRef>
          </c:cat>
          <c:val>
            <c:numRef>
              <c:f>List1!$F$2:$F$6</c:f>
              <c:numCache>
                <c:formatCode>0%</c:formatCode>
                <c:ptCount val="5"/>
                <c:pt idx="0">
                  <c:v>0.40300000000000002</c:v>
                </c:pt>
                <c:pt idx="1">
                  <c:v>0.48800000000000016</c:v>
                </c:pt>
                <c:pt idx="2">
                  <c:v>0.57700000000000018</c:v>
                </c:pt>
                <c:pt idx="3">
                  <c:v>0.61400000000000021</c:v>
                </c:pt>
                <c:pt idx="4">
                  <c:v>0.58599999999999997</c:v>
                </c:pt>
              </c:numCache>
            </c:numRef>
          </c:val>
          <c:extLst xmlns:c16r2="http://schemas.microsoft.com/office/drawing/2015/06/chart">
            <c:ext xmlns:c16="http://schemas.microsoft.com/office/drawing/2014/chart" uri="{C3380CC4-5D6E-409C-BE32-E72D297353CC}">
              <c16:uniqueId val="{00000006-CF2E-43DC-8E83-E5503070070E}"/>
            </c:ext>
          </c:extLst>
        </c:ser>
        <c:dLbls>
          <c:showLegendKey val="0"/>
          <c:showVal val="0"/>
          <c:showCatName val="0"/>
          <c:showSerName val="0"/>
          <c:showPercent val="0"/>
          <c:showBubbleSize val="0"/>
        </c:dLbls>
        <c:gapWidth val="150"/>
        <c:overlap val="100"/>
        <c:axId val="431766024"/>
        <c:axId val="431763280"/>
      </c:barChart>
      <c:catAx>
        <c:axId val="431766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crossAx val="431763280"/>
        <c:crosses val="autoZero"/>
        <c:auto val="1"/>
        <c:lblAlgn val="ctr"/>
        <c:lblOffset val="100"/>
        <c:noMultiLvlLbl val="0"/>
      </c:catAx>
      <c:valAx>
        <c:axId val="431763280"/>
        <c:scaling>
          <c:orientation val="minMax"/>
        </c:scaling>
        <c:delete val="1"/>
        <c:axPos val="b"/>
        <c:numFmt formatCode="0%" sourceLinked="1"/>
        <c:majorTickMark val="none"/>
        <c:minorTickMark val="none"/>
        <c:tickLblPos val="nextTo"/>
        <c:crossAx val="43176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2878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Pech</dc:creator>
  <cp:lastModifiedBy>Dokumenty Crestcom</cp:lastModifiedBy>
  <cp:revision>2</cp:revision>
  <dcterms:created xsi:type="dcterms:W3CDTF">2021-06-07T09:31:00Z</dcterms:created>
  <dcterms:modified xsi:type="dcterms:W3CDTF">2021-06-07T09:31:00Z</dcterms:modified>
</cp:coreProperties>
</file>